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CF" w:rsidRDefault="001C4FAF" w:rsidP="008875CF">
      <w:pPr>
        <w:spacing w:line="240" w:lineRule="auto"/>
        <w:jc w:val="center"/>
        <w:rPr>
          <w:rFonts w:ascii="Times" w:hAnsi="Times"/>
          <w:color w:val="FFFFFF"/>
          <w:sz w:val="44"/>
          <w:szCs w:val="44"/>
        </w:rPr>
      </w:pPr>
      <w:r>
        <w:rPr>
          <w:rFonts w:ascii="Times" w:hAnsi="Times"/>
          <w:color w:val="FFFFFF"/>
          <w:sz w:val="44"/>
          <w:szCs w:val="44"/>
          <w:highlight w:val="blue"/>
        </w:rPr>
        <w:t>Baritz &amp; Colman LLP Bulletin</w:t>
      </w:r>
    </w:p>
    <w:p w:rsidR="00C27180" w:rsidRPr="00C677DC" w:rsidRDefault="000B1CB1" w:rsidP="00C677DC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Silence is Golden</w:t>
      </w:r>
      <w:proofErr w:type="gramStart"/>
      <w:r>
        <w:rPr>
          <w:b/>
          <w:sz w:val="44"/>
          <w:szCs w:val="44"/>
        </w:rPr>
        <w:t>:</w:t>
      </w:r>
      <w:proofErr w:type="gramEnd"/>
      <w:r w:rsidR="00AC03E0">
        <w:rPr>
          <w:b/>
          <w:sz w:val="44"/>
          <w:szCs w:val="44"/>
        </w:rPr>
        <w:br/>
      </w:r>
      <w:r>
        <w:rPr>
          <w:b/>
          <w:sz w:val="44"/>
          <w:szCs w:val="44"/>
        </w:rPr>
        <w:t xml:space="preserve">The Perils of </w:t>
      </w:r>
      <w:r w:rsidR="00567268">
        <w:rPr>
          <w:b/>
          <w:sz w:val="44"/>
          <w:szCs w:val="44"/>
        </w:rPr>
        <w:t xml:space="preserve">Explained </w:t>
      </w:r>
      <w:r>
        <w:rPr>
          <w:b/>
          <w:sz w:val="44"/>
          <w:szCs w:val="44"/>
        </w:rPr>
        <w:t xml:space="preserve">FINRA </w:t>
      </w:r>
      <w:r w:rsidR="00567268">
        <w:rPr>
          <w:b/>
          <w:sz w:val="44"/>
          <w:szCs w:val="44"/>
        </w:rPr>
        <w:t>Awards</w:t>
      </w:r>
    </w:p>
    <w:p w:rsidR="008875CF" w:rsidRDefault="008875CF" w:rsidP="008875C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875CF" w:rsidRDefault="008875CF">
      <w:pPr>
        <w:sectPr w:rsidR="008875CF" w:rsidSect="00C677DC">
          <w:footerReference w:type="default" r:id="rId8"/>
          <w:pgSz w:w="12240" w:h="15840"/>
          <w:pgMar w:top="720" w:right="1080" w:bottom="1080" w:left="1080" w:header="720" w:footer="720" w:gutter="0"/>
          <w:cols w:space="720"/>
          <w:titlePg/>
          <w:docGrid w:linePitch="360"/>
        </w:sectPr>
      </w:pPr>
    </w:p>
    <w:p w:rsidR="008875CF" w:rsidRDefault="000A071A">
      <w:r>
        <w:t>March</w:t>
      </w:r>
      <w:r w:rsidR="000B1CB1">
        <w:t xml:space="preserve"> </w:t>
      </w:r>
      <w:r w:rsidR="00CF0C5C">
        <w:t>1</w:t>
      </w:r>
      <w:bookmarkStart w:id="0" w:name="_GoBack"/>
      <w:bookmarkEnd w:id="0"/>
      <w:r w:rsidR="000C0341">
        <w:t>8</w:t>
      </w:r>
      <w:r w:rsidR="000B1CB1">
        <w:t>, 2019</w:t>
      </w:r>
    </w:p>
    <w:p w:rsidR="009C0095" w:rsidRDefault="00810EEB" w:rsidP="009C0095">
      <w:pPr>
        <w:spacing w:after="0" w:line="240" w:lineRule="auto"/>
        <w:rPr>
          <w:i/>
        </w:rPr>
      </w:pPr>
      <w:r>
        <w:rPr>
          <w:i/>
        </w:rPr>
        <w:t>“</w:t>
      </w:r>
      <w:r w:rsidR="000B1CB1" w:rsidRPr="000B1CB1">
        <w:rPr>
          <w:i/>
        </w:rPr>
        <w:t xml:space="preserve">Remember not only to say the </w:t>
      </w:r>
      <w:r w:rsidR="000B1CB1">
        <w:rPr>
          <w:i/>
        </w:rPr>
        <w:t xml:space="preserve">right thing in the right place, </w:t>
      </w:r>
      <w:r w:rsidR="000B1CB1" w:rsidRPr="000B1CB1">
        <w:rPr>
          <w:i/>
        </w:rPr>
        <w:t>but far more difficult still, to leave unsaid the wron</w:t>
      </w:r>
      <w:r w:rsidR="000B1CB1">
        <w:rPr>
          <w:i/>
        </w:rPr>
        <w:t>g thing at the tempting moment.”</w:t>
      </w:r>
    </w:p>
    <w:p w:rsidR="00541381" w:rsidRPr="008F613B" w:rsidRDefault="000B1CB1" w:rsidP="008F613B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8F613B">
        <w:rPr>
          <w:sz w:val="22"/>
          <w:szCs w:val="22"/>
        </w:rPr>
        <w:t>Benjamin Franklin</w:t>
      </w:r>
    </w:p>
    <w:p w:rsidR="009C0095" w:rsidRDefault="009C0095" w:rsidP="000B1CB1">
      <w:pPr>
        <w:spacing w:after="240" w:line="240" w:lineRule="auto"/>
        <w:jc w:val="both"/>
        <w:rPr>
          <w:color w:val="181818"/>
          <w:shd w:val="clear" w:color="auto" w:fill="FFFFFF"/>
        </w:rPr>
      </w:pPr>
    </w:p>
    <w:p w:rsidR="000B1CB1" w:rsidRPr="000B1CB1" w:rsidRDefault="000B1CB1" w:rsidP="000B1CB1">
      <w:pPr>
        <w:spacing w:after="240" w:line="240" w:lineRule="auto"/>
        <w:jc w:val="both"/>
        <w:rPr>
          <w:color w:val="181818"/>
          <w:shd w:val="clear" w:color="auto" w:fill="FFFFFF"/>
        </w:rPr>
      </w:pPr>
      <w:r w:rsidRPr="000B1CB1">
        <w:rPr>
          <w:color w:val="181818"/>
          <w:shd w:val="clear" w:color="auto" w:fill="FFFFFF"/>
        </w:rPr>
        <w:t>Practitioners in the world of FINRA arbitration know certain tr</w:t>
      </w:r>
      <w:r>
        <w:rPr>
          <w:color w:val="181818"/>
          <w:shd w:val="clear" w:color="auto" w:fill="FFFFFF"/>
        </w:rPr>
        <w:t xml:space="preserve">uths to be self-evident. One </w:t>
      </w:r>
      <w:r w:rsidRPr="000B1CB1">
        <w:rPr>
          <w:color w:val="181818"/>
          <w:shd w:val="clear" w:color="auto" w:fill="FFFFFF"/>
        </w:rPr>
        <w:t>is that unless specifically requested by both sides, Arbitrat</w:t>
      </w:r>
      <w:r>
        <w:rPr>
          <w:color w:val="181818"/>
          <w:shd w:val="clear" w:color="auto" w:fill="FFFFFF"/>
        </w:rPr>
        <w:t xml:space="preserve">ors are not required to provide </w:t>
      </w:r>
      <w:r w:rsidRPr="000B1CB1">
        <w:rPr>
          <w:color w:val="181818"/>
          <w:shd w:val="clear" w:color="auto" w:fill="FFFFFF"/>
        </w:rPr>
        <w:t xml:space="preserve">explanations for their Awards. We have all seen </w:t>
      </w:r>
      <w:r w:rsidR="000A071A">
        <w:rPr>
          <w:color w:val="181818"/>
          <w:shd w:val="clear" w:color="auto" w:fill="FFFFFF"/>
        </w:rPr>
        <w:t>many</w:t>
      </w:r>
      <w:r w:rsidRPr="000B1CB1">
        <w:rPr>
          <w:color w:val="181818"/>
          <w:shd w:val="clear" w:color="auto" w:fill="FFFFFF"/>
        </w:rPr>
        <w:t xml:space="preserve"> large or sign</w:t>
      </w:r>
      <w:r>
        <w:rPr>
          <w:color w:val="181818"/>
          <w:shd w:val="clear" w:color="auto" w:fill="FFFFFF"/>
        </w:rPr>
        <w:t xml:space="preserve">ificant Awards that are </w:t>
      </w:r>
      <w:r w:rsidRPr="000B1CB1">
        <w:rPr>
          <w:color w:val="181818"/>
          <w:shd w:val="clear" w:color="auto" w:fill="FFFFFF"/>
        </w:rPr>
        <w:t>maddeningly silent even as they dole out seven-figure sums to delighted claimants.</w:t>
      </w:r>
    </w:p>
    <w:p w:rsidR="000B1CB1" w:rsidRDefault="000B1CB1" w:rsidP="000B1CB1">
      <w:pPr>
        <w:spacing w:after="240" w:line="240" w:lineRule="auto"/>
        <w:jc w:val="both"/>
        <w:rPr>
          <w:color w:val="181818"/>
          <w:shd w:val="clear" w:color="auto" w:fill="FFFFFF"/>
        </w:rPr>
      </w:pPr>
      <w:r w:rsidRPr="000B1CB1">
        <w:rPr>
          <w:color w:val="181818"/>
          <w:shd w:val="clear" w:color="auto" w:fill="FFFFFF"/>
        </w:rPr>
        <w:t xml:space="preserve">This Bulletin discusses a recent decision from the Fourth Circuit </w:t>
      </w:r>
      <w:r w:rsidR="009C0095">
        <w:rPr>
          <w:color w:val="181818"/>
          <w:shd w:val="clear" w:color="auto" w:fill="FFFFFF"/>
        </w:rPr>
        <w:t>that</w:t>
      </w:r>
      <w:r w:rsidRPr="000B1CB1">
        <w:rPr>
          <w:color w:val="181818"/>
          <w:shd w:val="clear" w:color="auto" w:fill="FFFFFF"/>
        </w:rPr>
        <w:t xml:space="preserve"> hig</w:t>
      </w:r>
      <w:r>
        <w:rPr>
          <w:color w:val="181818"/>
          <w:shd w:val="clear" w:color="auto" w:fill="FFFFFF"/>
        </w:rPr>
        <w:t xml:space="preserve">hlights the perils to Panels </w:t>
      </w:r>
      <w:r w:rsidR="009C0095">
        <w:rPr>
          <w:color w:val="181818"/>
          <w:shd w:val="clear" w:color="auto" w:fill="FFFFFF"/>
        </w:rPr>
        <w:t xml:space="preserve">(and prevailing parties) </w:t>
      </w:r>
      <w:r>
        <w:rPr>
          <w:color w:val="181818"/>
          <w:shd w:val="clear" w:color="auto" w:fill="FFFFFF"/>
        </w:rPr>
        <w:t xml:space="preserve">of </w:t>
      </w:r>
      <w:r w:rsidRPr="000B1CB1">
        <w:rPr>
          <w:color w:val="181818"/>
          <w:shd w:val="clear" w:color="auto" w:fill="FFFFFF"/>
        </w:rPr>
        <w:t>uttering even the</w:t>
      </w:r>
      <w:r w:rsidR="000A071A">
        <w:rPr>
          <w:color w:val="181818"/>
          <w:shd w:val="clear" w:color="auto" w:fill="FFFFFF"/>
        </w:rPr>
        <w:t xml:space="preserve"> most minimalist explanations for</w:t>
      </w:r>
      <w:r w:rsidRPr="000B1CB1">
        <w:rPr>
          <w:color w:val="181818"/>
          <w:shd w:val="clear" w:color="auto" w:fill="FFFFFF"/>
        </w:rPr>
        <w:t xml:space="preserve"> their Awards. </w:t>
      </w:r>
      <w:r w:rsidR="000A071A">
        <w:rPr>
          <w:color w:val="181818"/>
          <w:shd w:val="clear" w:color="auto" w:fill="FFFFFF"/>
        </w:rPr>
        <w:t>(</w:t>
      </w:r>
      <w:r w:rsidRPr="000B1CB1">
        <w:rPr>
          <w:color w:val="181818"/>
          <w:shd w:val="clear" w:color="auto" w:fill="FFFFFF"/>
        </w:rPr>
        <w:t>It also pr</w:t>
      </w:r>
      <w:r>
        <w:rPr>
          <w:color w:val="181818"/>
          <w:shd w:val="clear" w:color="auto" w:fill="FFFFFF"/>
        </w:rPr>
        <w:t xml:space="preserve">ovides us a platform to digress </w:t>
      </w:r>
      <w:r w:rsidRPr="000B1CB1">
        <w:rPr>
          <w:color w:val="181818"/>
          <w:shd w:val="clear" w:color="auto" w:fill="FFFFFF"/>
        </w:rPr>
        <w:t>about the benefits and detriments of mandatory arbitration of FINRA disputes.</w:t>
      </w:r>
      <w:r w:rsidR="000A071A">
        <w:rPr>
          <w:color w:val="181818"/>
          <w:shd w:val="clear" w:color="auto" w:fill="FFFFFF"/>
        </w:rPr>
        <w:t>)</w:t>
      </w:r>
    </w:p>
    <w:p w:rsidR="000B1CB1" w:rsidRDefault="000B1CB1" w:rsidP="000B1CB1">
      <w:pPr>
        <w:spacing w:after="240" w:line="24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the </w:t>
      </w:r>
      <w:r w:rsidRPr="009C0095">
        <w:rPr>
          <w:b/>
          <w:i/>
          <w:smallCaps/>
          <w:sz w:val="28"/>
          <w:szCs w:val="28"/>
        </w:rPr>
        <w:t>saroop</w:t>
      </w:r>
      <w:r>
        <w:rPr>
          <w:b/>
          <w:smallCaps/>
          <w:sz w:val="28"/>
          <w:szCs w:val="28"/>
        </w:rPr>
        <w:t xml:space="preserve"> decision</w:t>
      </w:r>
    </w:p>
    <w:p w:rsidR="009C0095" w:rsidRPr="009C0095" w:rsidRDefault="009C0095" w:rsidP="009C0095">
      <w:pPr>
        <w:spacing w:after="240" w:line="240" w:lineRule="auto"/>
        <w:jc w:val="both"/>
        <w:rPr>
          <w:b/>
          <w:smallCaps/>
          <w:color w:val="181818"/>
          <w:shd w:val="clear" w:color="auto" w:fill="FFFFFF"/>
        </w:rPr>
      </w:pPr>
      <w:r w:rsidRPr="009C0095">
        <w:rPr>
          <w:b/>
          <w:smallCaps/>
          <w:color w:val="181818"/>
          <w:shd w:val="clear" w:color="auto" w:fill="FFFFFF"/>
        </w:rPr>
        <w:t xml:space="preserve">a. </w:t>
      </w:r>
      <w:r>
        <w:rPr>
          <w:b/>
          <w:smallCaps/>
          <w:color w:val="181818"/>
          <w:shd w:val="clear" w:color="auto" w:fill="FFFFFF"/>
        </w:rPr>
        <w:t>t</w:t>
      </w:r>
      <w:r w:rsidRPr="009C0095">
        <w:rPr>
          <w:b/>
          <w:smallCaps/>
          <w:color w:val="181818"/>
          <w:shd w:val="clear" w:color="auto" w:fill="FFFFFF"/>
        </w:rPr>
        <w:t>he claims</w:t>
      </w:r>
    </w:p>
    <w:p w:rsidR="000B1CB1" w:rsidRDefault="000B1CB1" w:rsidP="000B1CB1">
      <w:pPr>
        <w:spacing w:after="240" w:line="240" w:lineRule="auto"/>
        <w:jc w:val="both"/>
        <w:rPr>
          <w:color w:val="181818"/>
          <w:shd w:val="clear" w:color="auto" w:fill="FFFFFF"/>
        </w:rPr>
      </w:pPr>
      <w:r w:rsidRPr="000B1CB1">
        <w:rPr>
          <w:color w:val="181818"/>
          <w:shd w:val="clear" w:color="auto" w:fill="FFFFFF"/>
        </w:rPr>
        <w:t xml:space="preserve">In </w:t>
      </w:r>
      <w:r w:rsidRPr="000B1CB1">
        <w:rPr>
          <w:i/>
          <w:color w:val="181818"/>
          <w:shd w:val="clear" w:color="auto" w:fill="FFFFFF"/>
        </w:rPr>
        <w:t>Interactive Brokers LLC v. Saroop</w:t>
      </w:r>
      <w:r w:rsidRPr="000B1CB1">
        <w:rPr>
          <w:color w:val="181818"/>
          <w:shd w:val="clear" w:color="auto" w:fill="FFFFFF"/>
        </w:rPr>
        <w:t>, C.A. 3:17-</w:t>
      </w:r>
      <w:proofErr w:type="gramStart"/>
      <w:r w:rsidRPr="000B1CB1">
        <w:rPr>
          <w:color w:val="181818"/>
          <w:shd w:val="clear" w:color="auto" w:fill="FFFFFF"/>
        </w:rPr>
        <w:t>cv-</w:t>
      </w:r>
      <w:proofErr w:type="gramEnd"/>
      <w:r w:rsidRPr="000B1CB1">
        <w:rPr>
          <w:color w:val="181818"/>
          <w:shd w:val="clear" w:color="auto" w:fill="FFFFFF"/>
        </w:rPr>
        <w:t>127</w:t>
      </w:r>
      <w:r>
        <w:rPr>
          <w:color w:val="181818"/>
          <w:shd w:val="clear" w:color="auto" w:fill="FFFFFF"/>
        </w:rPr>
        <w:t xml:space="preserve"> (E.D. Va. Dec. 18, 2018), </w:t>
      </w:r>
      <w:r w:rsidR="001C4FAF">
        <w:rPr>
          <w:color w:val="181818"/>
          <w:shd w:val="clear" w:color="auto" w:fill="FFFFFF"/>
        </w:rPr>
        <w:t xml:space="preserve">[link to Decision] </w:t>
      </w:r>
      <w:r w:rsidRPr="000B1CB1">
        <w:rPr>
          <w:color w:val="181818"/>
          <w:shd w:val="clear" w:color="auto" w:fill="FFFFFF"/>
        </w:rPr>
        <w:t>customers of an on-line brokerage firm, Interactive Brokers, commenced</w:t>
      </w:r>
      <w:r>
        <w:rPr>
          <w:color w:val="181818"/>
          <w:shd w:val="clear" w:color="auto" w:fill="FFFFFF"/>
        </w:rPr>
        <w:t xml:space="preserve"> a FINRA arbitration proceeding </w:t>
      </w:r>
      <w:r w:rsidRPr="000B1CB1">
        <w:rPr>
          <w:color w:val="181818"/>
          <w:shd w:val="clear" w:color="auto" w:fill="FFFFFF"/>
        </w:rPr>
        <w:t>against the firm for the loss of the entire value of their account</w:t>
      </w:r>
      <w:r w:rsidR="00857639">
        <w:rPr>
          <w:color w:val="181818"/>
          <w:shd w:val="clear" w:color="auto" w:fill="FFFFFF"/>
        </w:rPr>
        <w:t xml:space="preserve"> </w:t>
      </w:r>
      <w:r w:rsidR="001C4FAF">
        <w:rPr>
          <w:color w:val="181818"/>
          <w:shd w:val="clear" w:color="auto" w:fill="FFFFFF"/>
        </w:rPr>
        <w:t>(</w:t>
      </w:r>
      <w:r w:rsidR="00857639">
        <w:rPr>
          <w:color w:val="181818"/>
          <w:shd w:val="clear" w:color="auto" w:fill="FFFFFF"/>
        </w:rPr>
        <w:t>hundreds of thousands of dollars</w:t>
      </w:r>
      <w:r w:rsidR="001C4FAF">
        <w:rPr>
          <w:color w:val="181818"/>
          <w:shd w:val="clear" w:color="auto" w:fill="FFFFFF"/>
        </w:rPr>
        <w:t>)</w:t>
      </w:r>
      <w:r w:rsidR="00857639">
        <w:rPr>
          <w:color w:val="181818"/>
          <w:shd w:val="clear" w:color="auto" w:fill="FFFFFF"/>
        </w:rPr>
        <w:t>.</w:t>
      </w:r>
      <w:r w:rsidRPr="000B1CB1">
        <w:rPr>
          <w:color w:val="181818"/>
          <w:shd w:val="clear" w:color="auto" w:fill="FFFFFF"/>
        </w:rPr>
        <w:t xml:space="preserve"> </w:t>
      </w:r>
    </w:p>
    <w:p w:rsidR="000B1CB1" w:rsidRDefault="005619E6" w:rsidP="000B1CB1">
      <w:pPr>
        <w:spacing w:after="240" w:line="240" w:lineRule="auto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 xml:space="preserve">Claimants alleged </w:t>
      </w:r>
      <w:r w:rsidR="000B1CB1" w:rsidRPr="000B1CB1">
        <w:rPr>
          <w:color w:val="181818"/>
          <w:shd w:val="clear" w:color="auto" w:fill="FFFFFF"/>
        </w:rPr>
        <w:t>that they traded naked short call options on portfolio margin in their Int</w:t>
      </w:r>
      <w:r w:rsidR="000B1CB1">
        <w:rPr>
          <w:color w:val="181818"/>
          <w:shd w:val="clear" w:color="auto" w:fill="FFFFFF"/>
        </w:rPr>
        <w:t xml:space="preserve">eractive accounts on the advice </w:t>
      </w:r>
      <w:r w:rsidR="000B1CB1" w:rsidRPr="000B1CB1">
        <w:rPr>
          <w:color w:val="181818"/>
          <w:shd w:val="clear" w:color="auto" w:fill="FFFFFF"/>
        </w:rPr>
        <w:t>of an independent advisor, Brar Capital. Brar Capital was unaffiliated with</w:t>
      </w:r>
      <w:r w:rsidR="000B1CB1">
        <w:rPr>
          <w:color w:val="181818"/>
          <w:shd w:val="clear" w:color="auto" w:fill="FFFFFF"/>
        </w:rPr>
        <w:t xml:space="preserve"> Interactive, and claimants </w:t>
      </w:r>
      <w:r w:rsidR="000B1CB1">
        <w:rPr>
          <w:color w:val="181818"/>
          <w:shd w:val="clear" w:color="auto" w:fill="FFFFFF"/>
        </w:rPr>
        <w:t xml:space="preserve">did </w:t>
      </w:r>
      <w:r w:rsidR="000B1CB1" w:rsidRPr="000B1CB1">
        <w:rPr>
          <w:color w:val="181818"/>
          <w:shd w:val="clear" w:color="auto" w:fill="FFFFFF"/>
        </w:rPr>
        <w:t>not allege that Interactive was asked to</w:t>
      </w:r>
      <w:r w:rsidR="009C0095">
        <w:rPr>
          <w:color w:val="181818"/>
          <w:shd w:val="clear" w:color="auto" w:fill="FFFFFF"/>
        </w:rPr>
        <w:t>,</w:t>
      </w:r>
      <w:r w:rsidR="000B1CB1" w:rsidRPr="000B1CB1">
        <w:rPr>
          <w:color w:val="181818"/>
          <w:shd w:val="clear" w:color="auto" w:fill="FFFFFF"/>
        </w:rPr>
        <w:t xml:space="preserve"> or rendered</w:t>
      </w:r>
      <w:r w:rsidR="009C0095">
        <w:rPr>
          <w:color w:val="181818"/>
          <w:shd w:val="clear" w:color="auto" w:fill="FFFFFF"/>
        </w:rPr>
        <w:t>,</w:t>
      </w:r>
      <w:r w:rsidR="000B1CB1" w:rsidRPr="000B1CB1">
        <w:rPr>
          <w:color w:val="181818"/>
          <w:shd w:val="clear" w:color="auto" w:fill="FFFFFF"/>
        </w:rPr>
        <w:t xml:space="preserve"> any </w:t>
      </w:r>
      <w:r w:rsidR="000A071A">
        <w:rPr>
          <w:color w:val="181818"/>
          <w:shd w:val="clear" w:color="auto" w:fill="FFFFFF"/>
        </w:rPr>
        <w:t xml:space="preserve">investment </w:t>
      </w:r>
      <w:r w:rsidR="000B1CB1" w:rsidRPr="000B1CB1">
        <w:rPr>
          <w:color w:val="181818"/>
          <w:shd w:val="clear" w:color="auto" w:fill="FFFFFF"/>
        </w:rPr>
        <w:t>advice</w:t>
      </w:r>
      <w:r w:rsidR="000B1CB1">
        <w:rPr>
          <w:color w:val="181818"/>
          <w:shd w:val="clear" w:color="auto" w:fill="FFFFFF"/>
        </w:rPr>
        <w:t xml:space="preserve">. </w:t>
      </w:r>
    </w:p>
    <w:p w:rsidR="000B1CB1" w:rsidRPr="000B1CB1" w:rsidRDefault="000B1CB1" w:rsidP="000B1CB1">
      <w:pPr>
        <w:spacing w:after="240" w:line="240" w:lineRule="auto"/>
        <w:jc w:val="both"/>
        <w:rPr>
          <w:color w:val="181818"/>
          <w:shd w:val="clear" w:color="auto" w:fill="FFFFFF"/>
        </w:rPr>
      </w:pPr>
      <w:r w:rsidRPr="000B1CB1">
        <w:rPr>
          <w:color w:val="181818"/>
          <w:shd w:val="clear" w:color="auto" w:fill="FFFFFF"/>
        </w:rPr>
        <w:t>Following the Dow’s largest one-day decline in its history</w:t>
      </w:r>
      <w:r w:rsidR="009C0095">
        <w:rPr>
          <w:color w:val="181818"/>
          <w:shd w:val="clear" w:color="auto" w:fill="FFFFFF"/>
        </w:rPr>
        <w:t>,</w:t>
      </w:r>
      <w:r w:rsidRPr="000B1CB1">
        <w:rPr>
          <w:color w:val="181818"/>
          <w:shd w:val="clear" w:color="auto" w:fill="FFFFFF"/>
        </w:rPr>
        <w:t xml:space="preserve"> in Augus</w:t>
      </w:r>
      <w:r>
        <w:rPr>
          <w:color w:val="181818"/>
          <w:shd w:val="clear" w:color="auto" w:fill="FFFFFF"/>
        </w:rPr>
        <w:t xml:space="preserve">t 2015, the value of claimants’ </w:t>
      </w:r>
      <w:r w:rsidRPr="000B1CB1">
        <w:rPr>
          <w:color w:val="181818"/>
          <w:shd w:val="clear" w:color="auto" w:fill="FFFFFF"/>
        </w:rPr>
        <w:t xml:space="preserve">accounts decreased by 80%. </w:t>
      </w:r>
      <w:r w:rsidR="000C0341">
        <w:rPr>
          <w:color w:val="181818"/>
          <w:shd w:val="clear" w:color="auto" w:fill="FFFFFF"/>
        </w:rPr>
        <w:t xml:space="preserve">Claimants alleged that </w:t>
      </w:r>
      <w:r w:rsidRPr="000B1CB1">
        <w:rPr>
          <w:color w:val="181818"/>
          <w:shd w:val="clear" w:color="auto" w:fill="FFFFFF"/>
        </w:rPr>
        <w:t>Interactive’s “auto-liquidation” process</w:t>
      </w:r>
      <w:r w:rsidR="000A071A">
        <w:rPr>
          <w:color w:val="181818"/>
          <w:shd w:val="clear" w:color="auto" w:fill="FFFFFF"/>
        </w:rPr>
        <w:t xml:space="preserve"> to address their</w:t>
      </w:r>
      <w:r>
        <w:rPr>
          <w:color w:val="181818"/>
          <w:shd w:val="clear" w:color="auto" w:fill="FFFFFF"/>
        </w:rPr>
        <w:t xml:space="preserve"> margin deficienc</w:t>
      </w:r>
      <w:r w:rsidR="004956ED">
        <w:rPr>
          <w:color w:val="181818"/>
          <w:shd w:val="clear" w:color="auto" w:fill="FFFFFF"/>
        </w:rPr>
        <w:t>ies</w:t>
      </w:r>
      <w:r>
        <w:rPr>
          <w:color w:val="181818"/>
          <w:shd w:val="clear" w:color="auto" w:fill="FFFFFF"/>
        </w:rPr>
        <w:t xml:space="preserve"> </w:t>
      </w:r>
      <w:r w:rsidRPr="000B1CB1">
        <w:rPr>
          <w:color w:val="181818"/>
          <w:shd w:val="clear" w:color="auto" w:fill="FFFFFF"/>
        </w:rPr>
        <w:t>wiped out the bal</w:t>
      </w:r>
      <w:r w:rsidR="000C0341">
        <w:rPr>
          <w:color w:val="181818"/>
          <w:shd w:val="clear" w:color="auto" w:fill="FFFFFF"/>
        </w:rPr>
        <w:t>ance of claimants’ accounts, leaving</w:t>
      </w:r>
      <w:r w:rsidRPr="000B1CB1">
        <w:rPr>
          <w:color w:val="181818"/>
          <w:shd w:val="clear" w:color="auto" w:fill="FFFFFF"/>
        </w:rPr>
        <w:t xml:space="preserve"> a six-figure margin debit.</w:t>
      </w:r>
    </w:p>
    <w:p w:rsidR="000B1CB1" w:rsidRDefault="000B1CB1" w:rsidP="000B1CB1">
      <w:pPr>
        <w:spacing w:after="240" w:line="240" w:lineRule="auto"/>
        <w:jc w:val="both"/>
        <w:rPr>
          <w:color w:val="181818"/>
          <w:shd w:val="clear" w:color="auto" w:fill="FFFFFF"/>
        </w:rPr>
      </w:pPr>
      <w:r w:rsidRPr="000B1CB1">
        <w:rPr>
          <w:color w:val="181818"/>
          <w:shd w:val="clear" w:color="auto" w:fill="FFFFFF"/>
        </w:rPr>
        <w:t xml:space="preserve">Claimants </w:t>
      </w:r>
      <w:r w:rsidR="000C0341">
        <w:rPr>
          <w:color w:val="181818"/>
          <w:shd w:val="clear" w:color="auto" w:fill="FFFFFF"/>
        </w:rPr>
        <w:t xml:space="preserve">initially </w:t>
      </w:r>
      <w:r w:rsidRPr="000B1CB1">
        <w:rPr>
          <w:color w:val="181818"/>
          <w:shd w:val="clear" w:color="auto" w:fill="FFFFFF"/>
        </w:rPr>
        <w:t>alleged multiple claims, including breach of contract, negligence</w:t>
      </w:r>
      <w:r>
        <w:rPr>
          <w:color w:val="181818"/>
          <w:shd w:val="clear" w:color="auto" w:fill="FFFFFF"/>
        </w:rPr>
        <w:t xml:space="preserve">, violation of state securities </w:t>
      </w:r>
      <w:r w:rsidRPr="000B1CB1">
        <w:rPr>
          <w:color w:val="181818"/>
          <w:shd w:val="clear" w:color="auto" w:fill="FFFFFF"/>
        </w:rPr>
        <w:t xml:space="preserve">statutes, and unjust enrichment. </w:t>
      </w:r>
      <w:r w:rsidR="000C0341">
        <w:rPr>
          <w:color w:val="181818"/>
          <w:shd w:val="clear" w:color="auto" w:fill="FFFFFF"/>
        </w:rPr>
        <w:t xml:space="preserve">By close of the Hearings, they had reduced it to two: that the securities were ineligible for margin under FINRA Rule 4210, and that Interactive’s liquidation process was </w:t>
      </w:r>
      <w:r w:rsidR="008F613B">
        <w:rPr>
          <w:color w:val="181818"/>
          <w:shd w:val="clear" w:color="auto" w:fill="FFFFFF"/>
        </w:rPr>
        <w:t>unreasonable</w:t>
      </w:r>
      <w:r w:rsidR="000C0341">
        <w:rPr>
          <w:color w:val="181818"/>
          <w:shd w:val="clear" w:color="auto" w:fill="FFFFFF"/>
        </w:rPr>
        <w:t xml:space="preserve">.  </w:t>
      </w:r>
      <w:r w:rsidRPr="000B1CB1">
        <w:rPr>
          <w:color w:val="181818"/>
          <w:shd w:val="clear" w:color="auto" w:fill="FFFFFF"/>
        </w:rPr>
        <w:t>Interactive counterclaimed for the deb</w:t>
      </w:r>
      <w:r>
        <w:rPr>
          <w:color w:val="181818"/>
          <w:shd w:val="clear" w:color="auto" w:fill="FFFFFF"/>
        </w:rPr>
        <w:t xml:space="preserve">it balance. The parties did not </w:t>
      </w:r>
      <w:r w:rsidRPr="000B1CB1">
        <w:rPr>
          <w:color w:val="181818"/>
          <w:shd w:val="clear" w:color="auto" w:fill="FFFFFF"/>
        </w:rPr>
        <w:t xml:space="preserve">request </w:t>
      </w:r>
      <w:r w:rsidR="000A071A">
        <w:rPr>
          <w:color w:val="181818"/>
          <w:shd w:val="clear" w:color="auto" w:fill="FFFFFF"/>
        </w:rPr>
        <w:t xml:space="preserve">that the Panel issue </w:t>
      </w:r>
      <w:r w:rsidRPr="000B1CB1">
        <w:rPr>
          <w:color w:val="181818"/>
          <w:shd w:val="clear" w:color="auto" w:fill="FFFFFF"/>
        </w:rPr>
        <w:t>an explained decision.</w:t>
      </w:r>
    </w:p>
    <w:p w:rsidR="00972E05" w:rsidRPr="009C0095" w:rsidRDefault="009C0095" w:rsidP="000B1CB1">
      <w:pPr>
        <w:spacing w:after="240" w:line="240" w:lineRule="auto"/>
        <w:jc w:val="both"/>
        <w:rPr>
          <w:b/>
          <w:smallCaps/>
          <w:color w:val="181818"/>
          <w:shd w:val="clear" w:color="auto" w:fill="FFFFFF"/>
        </w:rPr>
      </w:pPr>
      <w:r>
        <w:rPr>
          <w:b/>
          <w:smallCaps/>
          <w:color w:val="181818"/>
          <w:shd w:val="clear" w:color="auto" w:fill="FFFFFF"/>
        </w:rPr>
        <w:t>b</w:t>
      </w:r>
      <w:r w:rsidRPr="009C0095">
        <w:rPr>
          <w:b/>
          <w:smallCaps/>
          <w:color w:val="181818"/>
          <w:shd w:val="clear" w:color="auto" w:fill="FFFFFF"/>
        </w:rPr>
        <w:t xml:space="preserve">. </w:t>
      </w:r>
      <w:r>
        <w:rPr>
          <w:b/>
          <w:smallCaps/>
          <w:color w:val="181818"/>
          <w:shd w:val="clear" w:color="auto" w:fill="FFFFFF"/>
        </w:rPr>
        <w:t>t</w:t>
      </w:r>
      <w:r w:rsidRPr="009C0095">
        <w:rPr>
          <w:b/>
          <w:smallCaps/>
          <w:color w:val="181818"/>
          <w:shd w:val="clear" w:color="auto" w:fill="FFFFFF"/>
        </w:rPr>
        <w:t xml:space="preserve">he </w:t>
      </w:r>
      <w:r>
        <w:rPr>
          <w:b/>
          <w:smallCaps/>
          <w:color w:val="181818"/>
          <w:shd w:val="clear" w:color="auto" w:fill="FFFFFF"/>
        </w:rPr>
        <w:t>award</w:t>
      </w:r>
    </w:p>
    <w:p w:rsidR="000B1CB1" w:rsidRDefault="000A071A" w:rsidP="000B1CB1">
      <w:pPr>
        <w:spacing w:after="240" w:line="240" w:lineRule="auto"/>
        <w:jc w:val="both"/>
      </w:pPr>
      <w:r>
        <w:t xml:space="preserve">The Panel </w:t>
      </w:r>
      <w:r w:rsidR="000B1CB1">
        <w:t>awarded claimants all their alleged compensator</w:t>
      </w:r>
      <w:r w:rsidR="000B05B5">
        <w:t xml:space="preserve">y damages, plus attorneys’ fees </w:t>
      </w:r>
      <w:r w:rsidR="000B1CB1">
        <w:t xml:space="preserve">equivalent to 30% of compensatories. </w:t>
      </w:r>
      <w:r w:rsidR="00857639">
        <w:t>Without more, n</w:t>
      </w:r>
      <w:r w:rsidR="000B1CB1">
        <w:t xml:space="preserve">o basis for vacatur here, right? </w:t>
      </w:r>
      <w:r w:rsidR="000B05B5">
        <w:t xml:space="preserve">But wait. The Panel also stated </w:t>
      </w:r>
      <w:r w:rsidR="001C4FAF">
        <w:t xml:space="preserve">in the Award </w:t>
      </w:r>
      <w:r w:rsidR="000C0341">
        <w:t xml:space="preserve">that its ruling was </w:t>
      </w:r>
      <w:r w:rsidR="00857639">
        <w:t>solely</w:t>
      </w:r>
      <w:r w:rsidR="000B05B5">
        <w:t xml:space="preserve"> “based on [Interactive’s] violation of FINRA Rule 4210,” </w:t>
      </w:r>
      <w:r w:rsidR="000B1CB1">
        <w:t>which governs marg</w:t>
      </w:r>
      <w:r>
        <w:t>in and portfolio margin requirements</w:t>
      </w:r>
      <w:r w:rsidR="000B1CB1">
        <w:t xml:space="preserve"> for member firms.</w:t>
      </w:r>
      <w:r w:rsidR="005619E6">
        <w:t xml:space="preserve"> To wit, that “[t]he securities </w:t>
      </w:r>
      <w:r w:rsidR="000B1CB1">
        <w:t xml:space="preserve">placed in the portfolio margin account were not eligible for that account based on [Rule 4210].” </w:t>
      </w:r>
    </w:p>
    <w:p w:rsidR="000B1CB1" w:rsidRDefault="00857639" w:rsidP="000B1CB1">
      <w:pPr>
        <w:spacing w:after="240" w:line="240" w:lineRule="auto"/>
        <w:jc w:val="both"/>
      </w:pPr>
      <w:r>
        <w:t xml:space="preserve">Oops. </w:t>
      </w:r>
      <w:r w:rsidR="000B1CB1">
        <w:t>Interactive brought an action in Federal District Court seeking vacatur o</w:t>
      </w:r>
      <w:r w:rsidR="000B05B5">
        <w:t xml:space="preserve">f the Award on the grounds that </w:t>
      </w:r>
      <w:r w:rsidR="000B1CB1">
        <w:t>the Panel had manifestly</w:t>
      </w:r>
      <w:r w:rsidR="00651C7E">
        <w:t xml:space="preserve"> </w:t>
      </w:r>
      <w:r w:rsidR="000B1CB1">
        <w:lastRenderedPageBreak/>
        <w:t>disregarded the law.</w:t>
      </w:r>
      <w:r w:rsidR="000D6A41">
        <w:rPr>
          <w:rStyle w:val="FootnoteReference"/>
        </w:rPr>
        <w:footnoteReference w:customMarkFollows="1" w:id="1"/>
        <w:t>*</w:t>
      </w:r>
      <w:r w:rsidR="000A071A">
        <w:t xml:space="preserve"> FINRA r</w:t>
      </w:r>
      <w:r w:rsidR="000B1CB1">
        <w:t>ules, such as 4210,</w:t>
      </w:r>
      <w:r w:rsidR="000B05B5">
        <w:t xml:space="preserve"> do not provide a private right </w:t>
      </w:r>
      <w:r w:rsidR="000B1CB1">
        <w:t>of action</w:t>
      </w:r>
      <w:r w:rsidR="000A071A">
        <w:t xml:space="preserve"> for investors</w:t>
      </w:r>
      <w:r>
        <w:t>.</w:t>
      </w:r>
      <w:r w:rsidR="000B1CB1">
        <w:t xml:space="preserve"> </w:t>
      </w:r>
      <w:r>
        <w:t>A</w:t>
      </w:r>
      <w:r w:rsidR="000B1CB1">
        <w:t>ccording to the Panel,</w:t>
      </w:r>
      <w:r w:rsidR="004D5A2C">
        <w:t xml:space="preserve"> that was the sole ground for</w:t>
      </w:r>
      <w:r w:rsidR="000B1CB1">
        <w:t xml:space="preserve"> </w:t>
      </w:r>
      <w:r w:rsidR="004D5A2C">
        <w:t>its award to Claimants and dismissal of</w:t>
      </w:r>
      <w:r w:rsidR="000A071A">
        <w:t xml:space="preserve"> Interactive’s</w:t>
      </w:r>
      <w:r w:rsidR="000B05B5">
        <w:t xml:space="preserve"> counterclaim. Interactive </w:t>
      </w:r>
      <w:r w:rsidR="000B1CB1">
        <w:t>also ar</w:t>
      </w:r>
      <w:r w:rsidR="000A071A">
        <w:t>gued that there were no rational base</w:t>
      </w:r>
      <w:r w:rsidR="000B1CB1">
        <w:t>s for the amounts of damages and attorneys’ fees awarded.</w:t>
      </w:r>
    </w:p>
    <w:p w:rsidR="000B1CB1" w:rsidRDefault="000B1CB1" w:rsidP="000B1CB1">
      <w:pPr>
        <w:spacing w:after="240" w:line="240" w:lineRule="auto"/>
        <w:jc w:val="both"/>
      </w:pPr>
      <w:r>
        <w:t>The court remanded the Award to the Panel for “clarification.” In resp</w:t>
      </w:r>
      <w:r w:rsidR="000B05B5">
        <w:t xml:space="preserve">onse, the Panel </w:t>
      </w:r>
      <w:r w:rsidR="00857639">
        <w:t>made its</w:t>
      </w:r>
      <w:r>
        <w:t xml:space="preserve"> disregard</w:t>
      </w:r>
      <w:r w:rsidR="00857639">
        <w:t xml:space="preserve"> even more manifest</w:t>
      </w:r>
      <w:r>
        <w:t>, and reiterated its posit</w:t>
      </w:r>
      <w:r w:rsidR="000A071A">
        <w:t>i</w:t>
      </w:r>
      <w:r>
        <w:t>on that the Panel should “</w:t>
      </w:r>
      <w:r w:rsidR="000B05B5">
        <w:t xml:space="preserve">enforce a FINRA rule [4210]” so </w:t>
      </w:r>
      <w:r>
        <w:t xml:space="preserve">as not to “provide an opportunity for investors to commit financial suicide </w:t>
      </w:r>
      <w:r w:rsidR="000B05B5">
        <w:t xml:space="preserve">by investing in securities that </w:t>
      </w:r>
      <w:r>
        <w:t>are ineligible for inclusion in a portfolio margin account.” In other wo</w:t>
      </w:r>
      <w:r w:rsidR="000B05B5">
        <w:t xml:space="preserve">rds, the Panel was providing to </w:t>
      </w:r>
      <w:r>
        <w:t xml:space="preserve">claimants the </w:t>
      </w:r>
      <w:r w:rsidR="00857639">
        <w:t>non-existent</w:t>
      </w:r>
      <w:r>
        <w:t xml:space="preserve"> private right to relief under FINRA Rule 4210.</w:t>
      </w:r>
    </w:p>
    <w:p w:rsidR="000B1CB1" w:rsidRDefault="009C0095" w:rsidP="000B1CB1">
      <w:pPr>
        <w:spacing w:after="240" w:line="240" w:lineRule="auto"/>
        <w:jc w:val="both"/>
      </w:pPr>
      <w:r>
        <w:t>And so the court ruled: t</w:t>
      </w:r>
      <w:r w:rsidR="000B1CB1">
        <w:t>he court held that “the law is clear that there i</w:t>
      </w:r>
      <w:r w:rsidR="000B05B5">
        <w:t xml:space="preserve">s no private right of action to </w:t>
      </w:r>
      <w:r w:rsidR="000B1CB1">
        <w:t>enforce FINRA rules,” and that “the arbitrators knew of and understood t</w:t>
      </w:r>
      <w:r w:rsidR="000A071A">
        <w:t xml:space="preserve">he law,” and “they ignored it.” </w:t>
      </w:r>
      <w:r w:rsidR="000B1CB1">
        <w:t>(</w:t>
      </w:r>
      <w:r w:rsidR="000B1CB1" w:rsidRPr="000B05B5">
        <w:rPr>
          <w:i/>
        </w:rPr>
        <w:t>Slip Op</w:t>
      </w:r>
      <w:r w:rsidR="000B1CB1">
        <w:t>. at 19.) The court “reinstated” Interactive’s counterclaims, and</w:t>
      </w:r>
      <w:r w:rsidR="000B05B5">
        <w:t xml:space="preserve"> remanded the dispute “to a new </w:t>
      </w:r>
      <w:r w:rsidR="000B1CB1">
        <w:t>panel of arbitrators.” (</w:t>
      </w:r>
      <w:r w:rsidR="000B1CB1" w:rsidRPr="000B05B5">
        <w:rPr>
          <w:i/>
        </w:rPr>
        <w:t>Id.</w:t>
      </w:r>
      <w:r w:rsidR="000B1CB1">
        <w:t>)</w:t>
      </w:r>
      <w:r w:rsidR="0051089C">
        <w:t xml:space="preserve">  Claimants have appealed the court’s decision to the Fourth Circuit Court of Appeals.</w:t>
      </w:r>
    </w:p>
    <w:p w:rsidR="00AC03E0" w:rsidRDefault="000B1CB1" w:rsidP="000B1CB1">
      <w:pPr>
        <w:spacing w:after="240" w:line="240" w:lineRule="auto"/>
        <w:jc w:val="both"/>
      </w:pPr>
      <w:r>
        <w:t>What can we learn from the err</w:t>
      </w:r>
      <w:r w:rsidR="000B05B5">
        <w:t xml:space="preserve">ors of the </w:t>
      </w:r>
      <w:r w:rsidR="0051089C">
        <w:t>obdurate</w:t>
      </w:r>
      <w:r w:rsidR="000B05B5">
        <w:t xml:space="preserve"> </w:t>
      </w:r>
      <w:proofErr w:type="spellStart"/>
      <w:r w:rsidR="000B05B5" w:rsidRPr="00EE50FB">
        <w:rPr>
          <w:i/>
        </w:rPr>
        <w:t>Saroop</w:t>
      </w:r>
      <w:proofErr w:type="spellEnd"/>
      <w:r w:rsidR="009C0095">
        <w:t xml:space="preserve"> P</w:t>
      </w:r>
      <w:r w:rsidR="000B05B5">
        <w:t>anel?</w:t>
      </w:r>
      <w:r>
        <w:t xml:space="preserve"> For </w:t>
      </w:r>
      <w:r w:rsidR="009C0095">
        <w:t xml:space="preserve">panels: </w:t>
      </w:r>
      <w:r w:rsidR="000B05B5">
        <w:t xml:space="preserve">when crafting an Award, </w:t>
      </w:r>
      <w:r>
        <w:t>the less</w:t>
      </w:r>
      <w:r w:rsidR="009C0095">
        <w:t xml:space="preserve"> said the better</w:t>
      </w:r>
      <w:r w:rsidR="00857639">
        <w:t xml:space="preserve"> – if the parties don’t ask for an explanation, don’t give one.</w:t>
      </w:r>
      <w:r w:rsidR="009C0095">
        <w:t xml:space="preserve"> For litigants:</w:t>
      </w:r>
      <w:r>
        <w:t xml:space="preserve"> </w:t>
      </w:r>
      <w:r w:rsidR="000A071A">
        <w:t xml:space="preserve">if you believe you have a strong case, </w:t>
      </w:r>
      <w:r>
        <w:t xml:space="preserve">do not </w:t>
      </w:r>
      <w:r w:rsidR="001C4FAF">
        <w:t>agree to</w:t>
      </w:r>
      <w:r>
        <w:t xml:space="preserve"> a reasoned or explained Award, les</w:t>
      </w:r>
      <w:r w:rsidR="000B05B5">
        <w:t xml:space="preserve">t you prevail and </w:t>
      </w:r>
      <w:r>
        <w:t>set up the Award for</w:t>
      </w:r>
      <w:r w:rsidR="000B05B5">
        <w:t xml:space="preserve"> a petition to vacate </w:t>
      </w:r>
      <w:r>
        <w:t>– and th</w:t>
      </w:r>
      <w:r w:rsidR="000B05B5">
        <w:t xml:space="preserve">e accompanying protracted court </w:t>
      </w:r>
      <w:r>
        <w:t>proceedings.</w:t>
      </w:r>
    </w:p>
    <w:p w:rsidR="00DF7491" w:rsidRDefault="000B05B5" w:rsidP="000A071A">
      <w:pPr>
        <w:keepNext/>
        <w:spacing w:after="24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desirability of mandatory arbitration</w:t>
      </w:r>
    </w:p>
    <w:p w:rsidR="00DF7491" w:rsidRDefault="009C0095" w:rsidP="00DF7491">
      <w:pPr>
        <w:spacing w:after="240" w:line="240" w:lineRule="auto"/>
        <w:jc w:val="both"/>
      </w:pPr>
      <w:r>
        <w:t>While we’re on the topic (sort of), some observations on the pros and con</w:t>
      </w:r>
      <w:r w:rsidR="00DF7491">
        <w:t>s of mandatory FINRA arbitration.</w:t>
      </w:r>
    </w:p>
    <w:p w:rsidR="00DF7491" w:rsidRPr="00DF7491" w:rsidRDefault="00EE50FB" w:rsidP="000D6A41">
      <w:pPr>
        <w:keepNext/>
        <w:spacing w:after="240" w:line="240" w:lineRule="auto"/>
        <w:jc w:val="both"/>
        <w:rPr>
          <w:b/>
          <w:smallCaps/>
        </w:rPr>
      </w:pPr>
      <w:r>
        <w:rPr>
          <w:b/>
          <w:smallCaps/>
        </w:rPr>
        <w:t>p</w:t>
      </w:r>
      <w:r w:rsidR="009C0095">
        <w:rPr>
          <w:b/>
          <w:smallCaps/>
        </w:rPr>
        <w:t>ro</w:t>
      </w:r>
      <w:r w:rsidR="00DF7491" w:rsidRPr="00DF7491">
        <w:rPr>
          <w:b/>
          <w:smallCaps/>
        </w:rPr>
        <w:t>s:</w:t>
      </w:r>
    </w:p>
    <w:p w:rsidR="00DF7491" w:rsidRDefault="00DF7491" w:rsidP="00DF7491">
      <w:pPr>
        <w:pStyle w:val="ListParagraph"/>
        <w:numPr>
          <w:ilvl w:val="0"/>
          <w:numId w:val="3"/>
        </w:numPr>
        <w:spacing w:after="240" w:line="240" w:lineRule="auto"/>
        <w:ind w:left="540"/>
        <w:jc w:val="both"/>
      </w:pPr>
      <w:r w:rsidRPr="00DF7491">
        <w:t>Awards are generally not appealable, thus avoiding a potentially lengthy and expensive appeal</w:t>
      </w:r>
      <w:r>
        <w:t xml:space="preserve"> </w:t>
      </w:r>
      <w:r w:rsidRPr="00DF7491">
        <w:t>process.</w:t>
      </w:r>
    </w:p>
    <w:p w:rsidR="00DF7491" w:rsidRDefault="00DF7491" w:rsidP="00DF7491">
      <w:pPr>
        <w:pStyle w:val="ListParagraph"/>
        <w:spacing w:after="240" w:line="240" w:lineRule="auto"/>
        <w:ind w:left="540" w:hanging="360"/>
        <w:jc w:val="both"/>
      </w:pPr>
    </w:p>
    <w:p w:rsidR="00DF7491" w:rsidRDefault="00DF7491" w:rsidP="00DF7491">
      <w:pPr>
        <w:pStyle w:val="ListParagraph"/>
        <w:numPr>
          <w:ilvl w:val="0"/>
          <w:numId w:val="3"/>
        </w:numPr>
        <w:spacing w:after="240" w:line="240" w:lineRule="auto"/>
        <w:ind w:left="540"/>
        <w:jc w:val="both"/>
      </w:pPr>
      <w:r w:rsidRPr="00DF7491">
        <w:t>FINRA arb</w:t>
      </w:r>
      <w:r w:rsidR="000D6A41">
        <w:t>itration does not authorize</w:t>
      </w:r>
      <w:r w:rsidRPr="00DF7491">
        <w:t xml:space="preserve"> expensive and time-consuming discovery tools such</w:t>
      </w:r>
      <w:r>
        <w:t xml:space="preserve"> </w:t>
      </w:r>
      <w:r w:rsidRPr="00DF7491">
        <w:t>as depositions and written interrogatories.</w:t>
      </w:r>
    </w:p>
    <w:p w:rsidR="00DF7491" w:rsidRDefault="00DF7491" w:rsidP="00DF7491">
      <w:pPr>
        <w:pStyle w:val="ListParagraph"/>
        <w:ind w:left="540" w:hanging="360"/>
        <w:jc w:val="both"/>
      </w:pPr>
    </w:p>
    <w:p w:rsidR="00DF7491" w:rsidRDefault="00DF7491" w:rsidP="00DF7491">
      <w:pPr>
        <w:pStyle w:val="ListParagraph"/>
        <w:numPr>
          <w:ilvl w:val="0"/>
          <w:numId w:val="3"/>
        </w:numPr>
        <w:spacing w:after="240" w:line="240" w:lineRule="auto"/>
        <w:ind w:left="540"/>
        <w:jc w:val="both"/>
      </w:pPr>
      <w:r w:rsidRPr="00DF7491">
        <w:t>Unlike juries, panels are composed of people familiar – if not expert – in the rules and</w:t>
      </w:r>
      <w:r>
        <w:t xml:space="preserve"> </w:t>
      </w:r>
      <w:r w:rsidRPr="00DF7491">
        <w:t>practicalities of the securities industry.</w:t>
      </w:r>
    </w:p>
    <w:p w:rsidR="00DF7491" w:rsidRDefault="00DF7491" w:rsidP="00DF7491">
      <w:pPr>
        <w:pStyle w:val="ListParagraph"/>
        <w:ind w:left="540" w:hanging="360"/>
        <w:jc w:val="both"/>
      </w:pPr>
    </w:p>
    <w:p w:rsidR="00DF7491" w:rsidRPr="00DF7491" w:rsidRDefault="00DF7491" w:rsidP="00DF7491">
      <w:pPr>
        <w:pStyle w:val="ListParagraph"/>
        <w:numPr>
          <w:ilvl w:val="0"/>
          <w:numId w:val="3"/>
        </w:numPr>
        <w:spacing w:after="240" w:line="240" w:lineRule="auto"/>
        <w:ind w:left="540"/>
        <w:jc w:val="both"/>
      </w:pPr>
      <w:r w:rsidRPr="00DF7491">
        <w:t>For industry members and reps, there is a perception that panels tend to have a pro-industry</w:t>
      </w:r>
      <w:r>
        <w:t xml:space="preserve"> </w:t>
      </w:r>
      <w:r w:rsidRPr="00DF7491">
        <w:t>bias.</w:t>
      </w:r>
    </w:p>
    <w:p w:rsidR="00DF7491" w:rsidRPr="00DF7491" w:rsidRDefault="00EE50FB" w:rsidP="00DF7491">
      <w:pPr>
        <w:spacing w:after="240" w:line="240" w:lineRule="auto"/>
        <w:jc w:val="both"/>
        <w:rPr>
          <w:b/>
          <w:smallCaps/>
        </w:rPr>
      </w:pPr>
      <w:r>
        <w:rPr>
          <w:b/>
          <w:smallCaps/>
        </w:rPr>
        <w:t>c</w:t>
      </w:r>
      <w:r w:rsidR="009C0095">
        <w:rPr>
          <w:b/>
          <w:smallCaps/>
        </w:rPr>
        <w:t>on</w:t>
      </w:r>
      <w:r w:rsidR="00DF7491" w:rsidRPr="00DF7491">
        <w:rPr>
          <w:b/>
          <w:smallCaps/>
        </w:rPr>
        <w:t>s:</w:t>
      </w:r>
    </w:p>
    <w:p w:rsidR="000A071A" w:rsidRDefault="000A071A" w:rsidP="000A071A">
      <w:pPr>
        <w:pStyle w:val="ListParagraph"/>
        <w:numPr>
          <w:ilvl w:val="0"/>
          <w:numId w:val="4"/>
        </w:numPr>
        <w:spacing w:after="240" w:line="240" w:lineRule="auto"/>
        <w:ind w:left="540"/>
        <w:jc w:val="both"/>
      </w:pPr>
      <w:r w:rsidRPr="00DF7491">
        <w:t xml:space="preserve">No motion practice. A case like </w:t>
      </w:r>
      <w:r w:rsidRPr="00EE50FB">
        <w:rPr>
          <w:i/>
        </w:rPr>
        <w:t>Saroop</w:t>
      </w:r>
      <w:r>
        <w:rPr>
          <w:i/>
        </w:rPr>
        <w:t xml:space="preserve"> </w:t>
      </w:r>
      <w:r>
        <w:t xml:space="preserve">appears </w:t>
      </w:r>
      <w:r w:rsidRPr="00DF7491">
        <w:t>apt for summary j</w:t>
      </w:r>
      <w:r w:rsidR="00857639">
        <w:t>udgment disposition, if not F.R.C.P.</w:t>
      </w:r>
      <w:r w:rsidRPr="00DF7491">
        <w:t xml:space="preserve"> 12(b)(6) dismissal</w:t>
      </w:r>
      <w:r>
        <w:t>.</w:t>
      </w:r>
    </w:p>
    <w:p w:rsidR="000A071A" w:rsidRDefault="000A071A" w:rsidP="000A071A">
      <w:pPr>
        <w:pStyle w:val="ListParagraph"/>
        <w:spacing w:after="240" w:line="240" w:lineRule="auto"/>
        <w:ind w:left="540"/>
        <w:jc w:val="both"/>
      </w:pPr>
    </w:p>
    <w:p w:rsidR="00DF7491" w:rsidRDefault="00DF7491" w:rsidP="00DF7491">
      <w:pPr>
        <w:pStyle w:val="ListParagraph"/>
        <w:numPr>
          <w:ilvl w:val="0"/>
          <w:numId w:val="4"/>
        </w:numPr>
        <w:spacing w:after="240" w:line="240" w:lineRule="auto"/>
        <w:ind w:left="540"/>
        <w:jc w:val="both"/>
      </w:pPr>
      <w:r w:rsidRPr="00DF7491">
        <w:t>Awar</w:t>
      </w:r>
      <w:r w:rsidR="009C0095">
        <w:t>ds are generally not appealable</w:t>
      </w:r>
      <w:r w:rsidR="000A071A">
        <w:t>,</w:t>
      </w:r>
      <w:r w:rsidR="009C0095">
        <w:t xml:space="preserve"> so</w:t>
      </w:r>
      <w:r w:rsidRPr="00DF7491">
        <w:t xml:space="preserve"> there is no recourse for even the most</w:t>
      </w:r>
      <w:r>
        <w:t xml:space="preserve"> </w:t>
      </w:r>
      <w:r w:rsidRPr="00DF7491">
        <w:t xml:space="preserve">egregious </w:t>
      </w:r>
      <w:r w:rsidR="009C0095">
        <w:t>panel conduct</w:t>
      </w:r>
      <w:r w:rsidRPr="00DF7491">
        <w:t xml:space="preserve">. The decision in </w:t>
      </w:r>
      <w:r w:rsidRPr="00EE50FB">
        <w:rPr>
          <w:i/>
        </w:rPr>
        <w:t>Saroop</w:t>
      </w:r>
      <w:r w:rsidRPr="00DF7491">
        <w:t xml:space="preserve"> was </w:t>
      </w:r>
      <w:r w:rsidR="00EE50FB">
        <w:t xml:space="preserve">a </w:t>
      </w:r>
      <w:r w:rsidRPr="00DF7491">
        <w:t>rarity indeed, and arose out of an</w:t>
      </w:r>
      <w:r>
        <w:t xml:space="preserve"> </w:t>
      </w:r>
      <w:r w:rsidRPr="00DF7491">
        <w:t>unusual misstep by the Panel. In some jurisdictions, such as New York, courts are so arbitration</w:t>
      </w:r>
      <w:r>
        <w:t xml:space="preserve"> </w:t>
      </w:r>
      <w:r w:rsidRPr="00DF7491">
        <w:t>friendly that they will not hesitate to sanction lawyers who bring even facially meritorious</w:t>
      </w:r>
      <w:r>
        <w:t xml:space="preserve"> </w:t>
      </w:r>
      <w:r w:rsidRPr="00DF7491">
        <w:t>petitions to vacate.</w:t>
      </w:r>
      <w:r w:rsidR="009C0095">
        <w:rPr>
          <w:rStyle w:val="FootnoteReference"/>
        </w:rPr>
        <w:footnoteReference w:customMarkFollows="1" w:id="2"/>
        <w:t>**</w:t>
      </w:r>
      <w:r w:rsidRPr="00DF7491">
        <w:t xml:space="preserve"> </w:t>
      </w:r>
    </w:p>
    <w:p w:rsidR="00EE50FB" w:rsidRDefault="00EE50FB" w:rsidP="00EE50FB">
      <w:pPr>
        <w:pStyle w:val="ListParagraph"/>
        <w:spacing w:after="240" w:line="240" w:lineRule="auto"/>
        <w:ind w:left="540"/>
        <w:jc w:val="both"/>
      </w:pPr>
    </w:p>
    <w:p w:rsidR="00EE50FB" w:rsidRDefault="00DF7491" w:rsidP="00EE50FB">
      <w:pPr>
        <w:pStyle w:val="ListParagraph"/>
        <w:numPr>
          <w:ilvl w:val="0"/>
          <w:numId w:val="4"/>
        </w:numPr>
        <w:spacing w:after="240" w:line="240" w:lineRule="auto"/>
        <w:ind w:left="540"/>
        <w:jc w:val="both"/>
      </w:pPr>
      <w:r w:rsidRPr="00DF7491">
        <w:t xml:space="preserve">While FINRA </w:t>
      </w:r>
      <w:r w:rsidR="000D6A41">
        <w:t>rules limit</w:t>
      </w:r>
      <w:r w:rsidRPr="00DF7491">
        <w:t xml:space="preserve"> discovery, we have encountered many customer and rep</w:t>
      </w:r>
      <w:r w:rsidR="00EE50FB">
        <w:t xml:space="preserve"> </w:t>
      </w:r>
      <w:r w:rsidRPr="00DF7491">
        <w:t xml:space="preserve">agreements that provide for other arbitral </w:t>
      </w:r>
      <w:r w:rsidRPr="00DF7491">
        <w:lastRenderedPageBreak/>
        <w:t>forums, such as JAMS or AAA, and such arbitrators</w:t>
      </w:r>
      <w:r w:rsidR="00EE50FB">
        <w:t xml:space="preserve"> </w:t>
      </w:r>
      <w:r w:rsidRPr="00DF7491">
        <w:t xml:space="preserve">often permit </w:t>
      </w:r>
      <w:r w:rsidR="000D6A41">
        <w:t>depo</w:t>
      </w:r>
      <w:r w:rsidR="000A071A">
        <w:t>sitions and interrogatories –</w:t>
      </w:r>
      <w:r w:rsidR="000D6A41">
        <w:t xml:space="preserve"> you might as well be in court.</w:t>
      </w:r>
    </w:p>
    <w:p w:rsidR="00EE50FB" w:rsidRDefault="00EE50FB" w:rsidP="00EE50FB">
      <w:pPr>
        <w:pStyle w:val="ListParagraph"/>
      </w:pPr>
    </w:p>
    <w:p w:rsidR="00DF7491" w:rsidRDefault="00DF7491" w:rsidP="00DF7491">
      <w:pPr>
        <w:pStyle w:val="ListParagraph"/>
        <w:numPr>
          <w:ilvl w:val="0"/>
          <w:numId w:val="4"/>
        </w:numPr>
        <w:spacing w:after="240" w:line="240" w:lineRule="auto"/>
        <w:ind w:left="540"/>
        <w:jc w:val="both"/>
      </w:pPr>
      <w:r w:rsidRPr="00DF7491">
        <w:t>While FINRA arbitrator compensation is modest, forums such as JAMS and AAA provide for</w:t>
      </w:r>
      <w:r w:rsidR="00EE50FB">
        <w:t xml:space="preserve"> </w:t>
      </w:r>
      <w:r w:rsidR="000A071A">
        <w:t>handsome compensation for</w:t>
      </w:r>
      <w:r w:rsidRPr="00DF7491">
        <w:t xml:space="preserve"> arbitrators – often their going hourly rates for their private practic</w:t>
      </w:r>
      <w:r w:rsidR="000D6A41">
        <w:t>es. In one case, a</w:t>
      </w:r>
      <w:r w:rsidRPr="00DF7491">
        <w:t xml:space="preserve"> client ended up compensating a single arbitrator in excess of</w:t>
      </w:r>
      <w:r w:rsidR="00EE50FB">
        <w:t xml:space="preserve"> </w:t>
      </w:r>
      <w:r w:rsidRPr="00DF7491">
        <w:t>$100,000 for his services. (</w:t>
      </w:r>
      <w:r w:rsidR="006315F9">
        <w:t>We</w:t>
      </w:r>
      <w:r w:rsidRPr="00DF7491">
        <w:t xml:space="preserve"> prevailed.)</w:t>
      </w:r>
    </w:p>
    <w:p w:rsidR="00EE50FB" w:rsidRDefault="00EE50FB" w:rsidP="00EE50FB">
      <w:pPr>
        <w:pStyle w:val="ListParagraph"/>
      </w:pPr>
    </w:p>
    <w:p w:rsidR="00EE50FB" w:rsidRPr="000D6A41" w:rsidRDefault="000D6A41" w:rsidP="00EE50FB">
      <w:pPr>
        <w:spacing w:after="240" w:line="240" w:lineRule="auto"/>
        <w:jc w:val="both"/>
      </w:pPr>
      <w:r>
        <w:t>Arbitration agreement</w:t>
      </w:r>
      <w:r w:rsidR="00651C7E">
        <w:t>s</w:t>
      </w:r>
      <w:r>
        <w:t xml:space="preserve"> continue to be prevalent and enforce</w:t>
      </w:r>
      <w:r w:rsidR="00587828">
        <w:t>able in the securities industry</w:t>
      </w:r>
      <w:r w:rsidRPr="00651C7E">
        <w:t>.</w:t>
      </w:r>
      <w:r w:rsidR="00651C7E">
        <w:t xml:space="preserve"> </w:t>
      </w:r>
      <w:r>
        <w:t>But it may be time for the industry to reconsider just how much is gained versus how much is lost strategically.</w:t>
      </w:r>
    </w:p>
    <w:p w:rsidR="00EE50FB" w:rsidRPr="00DF7491" w:rsidRDefault="00EE50FB" w:rsidP="00EE50FB">
      <w:pPr>
        <w:spacing w:after="240" w:line="240" w:lineRule="auto"/>
        <w:jc w:val="both"/>
      </w:pPr>
    </w:p>
    <w:p w:rsidR="008875CF" w:rsidRPr="000D6A41" w:rsidRDefault="006E5215" w:rsidP="000D6A41">
      <w:pPr>
        <w:spacing w:after="240" w:line="240" w:lineRule="auto"/>
        <w:rPr>
          <w:b/>
          <w:smallCaps/>
          <w:sz w:val="28"/>
          <w:szCs w:val="28"/>
        </w:rPr>
      </w:pPr>
      <w:r w:rsidRPr="00AF646D">
        <w:rPr>
          <w:b/>
          <w:i/>
        </w:rPr>
        <w:t>F</w:t>
      </w:r>
      <w:r w:rsidR="008875CF" w:rsidRPr="00AF646D">
        <w:rPr>
          <w:b/>
          <w:i/>
        </w:rPr>
        <w:t>or more information, please contact:</w:t>
      </w:r>
    </w:p>
    <w:p w:rsidR="008875CF" w:rsidRPr="00AF646D" w:rsidRDefault="008875CF" w:rsidP="008875CF">
      <w:pPr>
        <w:spacing w:after="0" w:line="240" w:lineRule="auto"/>
        <w:jc w:val="both"/>
        <w:rPr>
          <w:b/>
          <w:i/>
        </w:rPr>
      </w:pPr>
      <w:r w:rsidRPr="00AF646D">
        <w:rPr>
          <w:b/>
          <w:i/>
        </w:rPr>
        <w:t>Baritz &amp; Colman LLP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1075 Broken Sound Parkway, NW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Suite 102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Boca Raton, Florida 33487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Tel:  561-864-5100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Fax:  561-864-5101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www.baritzcolman.com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</w:p>
    <w:p w:rsidR="008875CF" w:rsidRPr="00AF646D" w:rsidRDefault="008875CF" w:rsidP="008875CF">
      <w:pPr>
        <w:spacing w:after="0" w:line="240" w:lineRule="auto"/>
        <w:jc w:val="both"/>
        <w:rPr>
          <w:b/>
          <w:i/>
        </w:rPr>
      </w:pPr>
      <w:r w:rsidRPr="00AF646D">
        <w:rPr>
          <w:b/>
          <w:i/>
        </w:rPr>
        <w:t>Baritz &amp; Colman LLP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The Woolworth Building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233 Broadway, Suite 2020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New York, NY 10279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Tel:  212-886-1693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Fax:  212-886-1694</w:t>
      </w:r>
    </w:p>
    <w:p w:rsidR="008875CF" w:rsidRPr="00AF646D" w:rsidRDefault="008875CF" w:rsidP="008875CF">
      <w:pPr>
        <w:spacing w:after="0" w:line="240" w:lineRule="auto"/>
        <w:jc w:val="both"/>
        <w:rPr>
          <w:i/>
        </w:rPr>
      </w:pPr>
      <w:r w:rsidRPr="00AF646D">
        <w:rPr>
          <w:i/>
        </w:rPr>
        <w:t>www.baritzcolman.com</w:t>
      </w:r>
    </w:p>
    <w:p w:rsidR="008875CF" w:rsidRPr="00AF646D" w:rsidRDefault="008875CF" w:rsidP="008875CF">
      <w:pPr>
        <w:spacing w:after="0" w:line="240" w:lineRule="auto"/>
        <w:jc w:val="both"/>
        <w:rPr>
          <w:b/>
          <w:i/>
        </w:rPr>
      </w:pPr>
    </w:p>
    <w:p w:rsidR="006E5215" w:rsidRPr="00213033" w:rsidRDefault="006E5215" w:rsidP="00213033">
      <w:pPr>
        <w:jc w:val="both"/>
        <w:rPr>
          <w:i/>
        </w:rPr>
      </w:pPr>
      <w:r w:rsidRPr="00AF646D">
        <w:rPr>
          <w:b/>
          <w:i/>
        </w:rPr>
        <w:t xml:space="preserve">Baritz &amp; Colman LLP </w:t>
      </w:r>
      <w:r w:rsidRPr="00AF646D">
        <w:rPr>
          <w:i/>
        </w:rPr>
        <w:t>provides securities arbitration, regulatory, litigation, corporate</w:t>
      </w:r>
      <w:r w:rsidR="00D84937">
        <w:rPr>
          <w:i/>
        </w:rPr>
        <w:t>, employment practices</w:t>
      </w:r>
      <w:r w:rsidRPr="00AF646D">
        <w:rPr>
          <w:i/>
        </w:rPr>
        <w:t xml:space="preserve"> and real estate services to clients </w:t>
      </w:r>
      <w:r w:rsidR="00424F36">
        <w:rPr>
          <w:i/>
        </w:rPr>
        <w:t>nationwide</w:t>
      </w:r>
      <w:r w:rsidRPr="00AF646D">
        <w:rPr>
          <w:i/>
        </w:rPr>
        <w:t>.  The firm maintains offices in Boca Raton, Florida, and New York City.</w:t>
      </w:r>
    </w:p>
    <w:sectPr w:rsidR="006E5215" w:rsidRPr="00213033" w:rsidSect="00213033">
      <w:type w:val="continuous"/>
      <w:pgSz w:w="12240" w:h="15840"/>
      <w:pgMar w:top="72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DC" w:rsidRDefault="00C677DC" w:rsidP="00C677DC">
      <w:pPr>
        <w:spacing w:after="0" w:line="240" w:lineRule="auto"/>
      </w:pPr>
      <w:r>
        <w:separator/>
      </w:r>
    </w:p>
  </w:endnote>
  <w:endnote w:type="continuationSeparator" w:id="0">
    <w:p w:rsidR="00C677DC" w:rsidRDefault="00C677DC" w:rsidP="00C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48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7DC" w:rsidRDefault="00C677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C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DC" w:rsidRDefault="00C677DC" w:rsidP="00C677DC">
      <w:pPr>
        <w:spacing w:after="0" w:line="240" w:lineRule="auto"/>
      </w:pPr>
      <w:r>
        <w:separator/>
      </w:r>
    </w:p>
  </w:footnote>
  <w:footnote w:type="continuationSeparator" w:id="0">
    <w:p w:rsidR="00C677DC" w:rsidRDefault="00C677DC" w:rsidP="00C677DC">
      <w:pPr>
        <w:spacing w:after="0" w:line="240" w:lineRule="auto"/>
      </w:pPr>
      <w:r>
        <w:continuationSeparator/>
      </w:r>
    </w:p>
  </w:footnote>
  <w:footnote w:id="1">
    <w:p w:rsidR="000D6A41" w:rsidRDefault="000D6A41">
      <w:pPr>
        <w:pStyle w:val="FootnoteText"/>
      </w:pPr>
      <w:r>
        <w:rPr>
          <w:rStyle w:val="FootnoteReference"/>
        </w:rPr>
        <w:t>*</w:t>
      </w:r>
      <w:r>
        <w:t xml:space="preserve"> “Manifest disregard” is not a basis for vacatur under the Federal Arbitration Act.  However, many jurisdiction – both state and federal – provide such a basis.  (A topic for another B&amp;CLLP Bulletin, perhaps.)</w:t>
      </w:r>
    </w:p>
  </w:footnote>
  <w:footnote w:id="2">
    <w:p w:rsidR="009C0095" w:rsidRPr="000D6A41" w:rsidRDefault="009C0095">
      <w:pPr>
        <w:pStyle w:val="FootnoteText"/>
      </w:pPr>
      <w:r>
        <w:rPr>
          <w:rStyle w:val="FootnoteReference"/>
        </w:rPr>
        <w:t>**</w:t>
      </w:r>
      <w:r>
        <w:t xml:space="preserve"> </w:t>
      </w:r>
      <w:r w:rsidR="000D6A41">
        <w:rPr>
          <w:i/>
        </w:rPr>
        <w:t xml:space="preserve">See, e.g., Digitelcom, Ltd. v. Tele 2 Sverige AB, </w:t>
      </w:r>
      <w:r w:rsidR="000D6A41">
        <w:t>2012 WL 3065345 (S.D.N.Y. July 25, 2012)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281"/>
    <w:multiLevelType w:val="hybridMultilevel"/>
    <w:tmpl w:val="0716279C"/>
    <w:lvl w:ilvl="0" w:tplc="3EC466CC">
      <w:start w:val="11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3442D"/>
    <w:multiLevelType w:val="hybridMultilevel"/>
    <w:tmpl w:val="1FD23576"/>
    <w:lvl w:ilvl="0" w:tplc="B08A4660">
      <w:start w:val="1100"/>
      <w:numFmt w:val="bullet"/>
      <w:lvlText w:val="-"/>
      <w:lvlJc w:val="left"/>
      <w:pPr>
        <w:ind w:left="25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 w15:restartNumberingAfterBreak="0">
    <w:nsid w:val="22DF7C35"/>
    <w:multiLevelType w:val="hybridMultilevel"/>
    <w:tmpl w:val="DA709020"/>
    <w:lvl w:ilvl="0" w:tplc="1A684F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27D2"/>
    <w:multiLevelType w:val="hybridMultilevel"/>
    <w:tmpl w:val="6FE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47E1"/>
    <w:multiLevelType w:val="hybridMultilevel"/>
    <w:tmpl w:val="F7C62D7E"/>
    <w:lvl w:ilvl="0" w:tplc="B72809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F503F7"/>
    <w:multiLevelType w:val="hybridMultilevel"/>
    <w:tmpl w:val="2E58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1C5F"/>
    <w:multiLevelType w:val="hybridMultilevel"/>
    <w:tmpl w:val="874E3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2A"/>
    <w:rsid w:val="00051213"/>
    <w:rsid w:val="00054E7E"/>
    <w:rsid w:val="000A071A"/>
    <w:rsid w:val="000B05B5"/>
    <w:rsid w:val="000B13F1"/>
    <w:rsid w:val="000B1CB1"/>
    <w:rsid w:val="000C0341"/>
    <w:rsid w:val="000D6A41"/>
    <w:rsid w:val="000E7F97"/>
    <w:rsid w:val="0011196F"/>
    <w:rsid w:val="00183438"/>
    <w:rsid w:val="00190653"/>
    <w:rsid w:val="001A27DD"/>
    <w:rsid w:val="001B3954"/>
    <w:rsid w:val="001C4FAF"/>
    <w:rsid w:val="001F37D1"/>
    <w:rsid w:val="00213033"/>
    <w:rsid w:val="0021503D"/>
    <w:rsid w:val="002440CC"/>
    <w:rsid w:val="00286200"/>
    <w:rsid w:val="002B6037"/>
    <w:rsid w:val="002C12EB"/>
    <w:rsid w:val="00305AED"/>
    <w:rsid w:val="00322742"/>
    <w:rsid w:val="00342DC7"/>
    <w:rsid w:val="00381768"/>
    <w:rsid w:val="003B72D2"/>
    <w:rsid w:val="003E4F94"/>
    <w:rsid w:val="004045BD"/>
    <w:rsid w:val="00424F36"/>
    <w:rsid w:val="0044629D"/>
    <w:rsid w:val="00453522"/>
    <w:rsid w:val="00460B62"/>
    <w:rsid w:val="004956ED"/>
    <w:rsid w:val="004B322A"/>
    <w:rsid w:val="004B7A17"/>
    <w:rsid w:val="004D5A2C"/>
    <w:rsid w:val="0051089C"/>
    <w:rsid w:val="00540033"/>
    <w:rsid w:val="00541381"/>
    <w:rsid w:val="005619E6"/>
    <w:rsid w:val="00567268"/>
    <w:rsid w:val="00576E1D"/>
    <w:rsid w:val="00587828"/>
    <w:rsid w:val="00593DC4"/>
    <w:rsid w:val="006315F9"/>
    <w:rsid w:val="00651C7E"/>
    <w:rsid w:val="0065509E"/>
    <w:rsid w:val="006B393A"/>
    <w:rsid w:val="006D1688"/>
    <w:rsid w:val="006E5215"/>
    <w:rsid w:val="007165C0"/>
    <w:rsid w:val="007230B3"/>
    <w:rsid w:val="007322DD"/>
    <w:rsid w:val="00796C41"/>
    <w:rsid w:val="007A47D3"/>
    <w:rsid w:val="007C3E7B"/>
    <w:rsid w:val="00810EEB"/>
    <w:rsid w:val="00811CF8"/>
    <w:rsid w:val="00827F28"/>
    <w:rsid w:val="008461EA"/>
    <w:rsid w:val="00857441"/>
    <w:rsid w:val="00857639"/>
    <w:rsid w:val="008875CF"/>
    <w:rsid w:val="008A5C92"/>
    <w:rsid w:val="008C4D50"/>
    <w:rsid w:val="008F613B"/>
    <w:rsid w:val="00930F56"/>
    <w:rsid w:val="00972E05"/>
    <w:rsid w:val="00975922"/>
    <w:rsid w:val="00990477"/>
    <w:rsid w:val="009A12E3"/>
    <w:rsid w:val="009C0095"/>
    <w:rsid w:val="00A92DE7"/>
    <w:rsid w:val="00AC03E0"/>
    <w:rsid w:val="00AF646D"/>
    <w:rsid w:val="00B36D78"/>
    <w:rsid w:val="00B64615"/>
    <w:rsid w:val="00B710DD"/>
    <w:rsid w:val="00BB2221"/>
    <w:rsid w:val="00C21824"/>
    <w:rsid w:val="00C27180"/>
    <w:rsid w:val="00C677DC"/>
    <w:rsid w:val="00C812CB"/>
    <w:rsid w:val="00CB49B7"/>
    <w:rsid w:val="00CB6FF0"/>
    <w:rsid w:val="00CC6335"/>
    <w:rsid w:val="00CC7AF1"/>
    <w:rsid w:val="00CF0C5C"/>
    <w:rsid w:val="00D2737C"/>
    <w:rsid w:val="00D43A25"/>
    <w:rsid w:val="00D84937"/>
    <w:rsid w:val="00DC65C5"/>
    <w:rsid w:val="00DF7491"/>
    <w:rsid w:val="00E7336E"/>
    <w:rsid w:val="00E910BF"/>
    <w:rsid w:val="00E930F9"/>
    <w:rsid w:val="00ED77B4"/>
    <w:rsid w:val="00EE50FB"/>
    <w:rsid w:val="00F0660D"/>
    <w:rsid w:val="00F165D3"/>
    <w:rsid w:val="00F33B5A"/>
    <w:rsid w:val="00F3715A"/>
    <w:rsid w:val="00F53804"/>
    <w:rsid w:val="00FC37A7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3A617-EC8E-444A-95D6-822A47F2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0EEB"/>
  </w:style>
  <w:style w:type="character" w:styleId="Hyperlink">
    <w:name w:val="Hyperlink"/>
    <w:basedOn w:val="DefaultParagraphFont"/>
    <w:uiPriority w:val="99"/>
    <w:unhideWhenUsed/>
    <w:rsid w:val="00810E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DC"/>
  </w:style>
  <w:style w:type="paragraph" w:styleId="Footer">
    <w:name w:val="footer"/>
    <w:basedOn w:val="Normal"/>
    <w:link w:val="FooterChar"/>
    <w:uiPriority w:val="99"/>
    <w:unhideWhenUsed/>
    <w:rsid w:val="00C6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DC"/>
  </w:style>
  <w:style w:type="paragraph" w:styleId="FootnoteText">
    <w:name w:val="footnote text"/>
    <w:basedOn w:val="Normal"/>
    <w:link w:val="FootnoteTextChar"/>
    <w:uiPriority w:val="99"/>
    <w:semiHidden/>
    <w:unhideWhenUsed/>
    <w:rsid w:val="000B1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D952D-D811-489F-9FBB-4A5686DF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tbarrow</dc:creator>
  <cp:lastModifiedBy>David Richan</cp:lastModifiedBy>
  <cp:revision>19</cp:revision>
  <cp:lastPrinted>2019-03-01T17:21:00Z</cp:lastPrinted>
  <dcterms:created xsi:type="dcterms:W3CDTF">2019-02-27T18:04:00Z</dcterms:created>
  <dcterms:modified xsi:type="dcterms:W3CDTF">2019-03-18T19:56:00Z</dcterms:modified>
</cp:coreProperties>
</file>